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C6715" w14:textId="77777777" w:rsidR="00EC6DAF" w:rsidRDefault="00E62BAB" w:rsidP="00EC6DAF">
      <w:pPr>
        <w:rPr>
          <w:b/>
          <w:bCs/>
          <w:iCs/>
          <w:lang w:val="en-US"/>
        </w:rPr>
      </w:pPr>
      <w:r w:rsidRPr="00E62BAB">
        <w:rPr>
          <w:lang w:val="en-US"/>
        </w:rPr>
        <w:t xml:space="preserve"> </w:t>
      </w:r>
      <w:r w:rsidRPr="00E62BAB">
        <w:rPr>
          <w:b/>
          <w:bCs/>
          <w:iCs/>
          <w:lang w:val="en-US"/>
        </w:rPr>
        <w:t xml:space="preserve">                                                                               </w:t>
      </w:r>
    </w:p>
    <w:p w14:paraId="502DBDE3" w14:textId="2D47CF27" w:rsidR="00EC6DAF" w:rsidRDefault="00EC6DAF" w:rsidP="00EC6DAF">
      <w:pPr>
        <w:jc w:val="both"/>
        <w:rPr>
          <w:b/>
          <w:bCs/>
          <w:iCs/>
          <w:lang w:val="en-US"/>
        </w:rPr>
      </w:pPr>
      <w:r w:rsidRPr="00EC6DAF">
        <w:rPr>
          <w:iCs/>
          <w:lang w:val="en-US"/>
        </w:rPr>
        <w:t>1</w:t>
      </w:r>
      <w:r>
        <w:rPr>
          <w:b/>
          <w:bCs/>
          <w:iCs/>
          <w:lang w:val="en-US"/>
        </w:rPr>
        <w:t xml:space="preserve">. </w:t>
      </w:r>
      <w:r w:rsidR="000C7ABD" w:rsidRPr="00EC6DAF">
        <w:rPr>
          <w:szCs w:val="22"/>
        </w:rPr>
        <w:t xml:space="preserve">Logan LK, Gandra S, Mandal S, Klein EY, Levinson J, Weinstein RA, et al. Multidrug- and Carbapenem-Resistant </w:t>
      </w:r>
      <w:r w:rsidR="000C7ABD" w:rsidRPr="00EC6DAF">
        <w:rPr>
          <w:i/>
          <w:iCs/>
          <w:szCs w:val="22"/>
        </w:rPr>
        <w:t xml:space="preserve">Pseudomonas </w:t>
      </w:r>
      <w:proofErr w:type="spellStart"/>
      <w:r w:rsidR="000C7ABD" w:rsidRPr="00EC6DAF">
        <w:rPr>
          <w:i/>
          <w:iCs/>
          <w:szCs w:val="22"/>
        </w:rPr>
        <w:t>aeruginosa</w:t>
      </w:r>
      <w:r w:rsidR="000C7ABD" w:rsidRPr="00EC6DAF">
        <w:rPr>
          <w:szCs w:val="22"/>
        </w:rPr>
        <w:t>in</w:t>
      </w:r>
      <w:proofErr w:type="spellEnd"/>
      <w:r w:rsidR="000C7ABD" w:rsidRPr="00EC6DAF">
        <w:rPr>
          <w:szCs w:val="22"/>
        </w:rPr>
        <w:t xml:space="preserve"> Children, United States, 1999–2012. Journal of the </w:t>
      </w:r>
      <w:proofErr w:type="spellStart"/>
      <w:r w:rsidR="000C7ABD" w:rsidRPr="00EC6DAF">
        <w:rPr>
          <w:szCs w:val="22"/>
        </w:rPr>
        <w:t>Pediatric</w:t>
      </w:r>
      <w:proofErr w:type="spellEnd"/>
      <w:r w:rsidR="000C7ABD" w:rsidRPr="00EC6DAF">
        <w:rPr>
          <w:szCs w:val="22"/>
        </w:rPr>
        <w:t xml:space="preserve"> Infectious Diseases Society. 2016 Nov 16; piw064.</w:t>
      </w:r>
    </w:p>
    <w:p w14:paraId="1699734F" w14:textId="77777777" w:rsidR="00EC6DAF" w:rsidRDefault="00EC6DAF" w:rsidP="00EC6DAF">
      <w:pPr>
        <w:jc w:val="both"/>
        <w:rPr>
          <w:b/>
          <w:bCs/>
          <w:iCs/>
          <w:lang w:val="en-US"/>
        </w:rPr>
      </w:pPr>
      <w:r w:rsidRPr="00EC6DAF">
        <w:rPr>
          <w:iCs/>
          <w:lang w:val="en-US"/>
        </w:rPr>
        <w:t>2.</w:t>
      </w:r>
      <w:r>
        <w:rPr>
          <w:b/>
          <w:bCs/>
          <w:iCs/>
          <w:lang w:val="en-US"/>
        </w:rPr>
        <w:t xml:space="preserve"> </w:t>
      </w:r>
      <w:r w:rsidR="000C7ABD" w:rsidRPr="00EC6DAF">
        <w:rPr>
          <w:szCs w:val="22"/>
        </w:rPr>
        <w:t xml:space="preserve">Reynolds D, </w:t>
      </w:r>
      <w:proofErr w:type="spellStart"/>
      <w:r w:rsidR="000C7ABD" w:rsidRPr="00EC6DAF">
        <w:rPr>
          <w:szCs w:val="22"/>
        </w:rPr>
        <w:t>Kollef</w:t>
      </w:r>
      <w:proofErr w:type="spellEnd"/>
      <w:r w:rsidR="000C7ABD" w:rsidRPr="00EC6DAF">
        <w:rPr>
          <w:szCs w:val="22"/>
        </w:rPr>
        <w:t xml:space="preserve"> M. The epidemiology and pathogenesis and treatment of Pseudomonas aeruginosa pneumonia. Antibiotics (Basel). 2021;10(11):1371.</w:t>
      </w:r>
    </w:p>
    <w:p w14:paraId="39EC55D6" w14:textId="77777777" w:rsidR="00EC6DAF" w:rsidRDefault="00EC6DAF" w:rsidP="00EC6DAF">
      <w:pPr>
        <w:jc w:val="both"/>
        <w:rPr>
          <w:b/>
          <w:bCs/>
          <w:iCs/>
          <w:lang w:val="en-US"/>
        </w:rPr>
      </w:pPr>
      <w:r w:rsidRPr="00EC6DAF">
        <w:rPr>
          <w:iCs/>
          <w:lang w:val="en-US"/>
        </w:rPr>
        <w:t>3</w:t>
      </w:r>
      <w:r>
        <w:rPr>
          <w:b/>
          <w:bCs/>
          <w:iCs/>
          <w:lang w:val="en-US"/>
        </w:rPr>
        <w:t xml:space="preserve">. </w:t>
      </w:r>
      <w:proofErr w:type="spellStart"/>
      <w:r w:rsidR="000C7ABD" w:rsidRPr="00EC6DAF">
        <w:rPr>
          <w:szCs w:val="22"/>
        </w:rPr>
        <w:t>Chastre</w:t>
      </w:r>
      <w:proofErr w:type="spellEnd"/>
      <w:r w:rsidR="000C7ABD" w:rsidRPr="00EC6DAF">
        <w:rPr>
          <w:szCs w:val="22"/>
        </w:rPr>
        <w:t>, J., François, B., Bourgeois, M. </w:t>
      </w:r>
      <w:r w:rsidR="000C7ABD" w:rsidRPr="00EC6DAF">
        <w:rPr>
          <w:i/>
          <w:iCs/>
          <w:szCs w:val="22"/>
        </w:rPr>
        <w:t>et al.</w:t>
      </w:r>
      <w:r w:rsidR="000C7ABD" w:rsidRPr="00EC6DAF">
        <w:rPr>
          <w:szCs w:val="22"/>
        </w:rPr>
        <w:t xml:space="preserve"> Safety, efficacy, and pharmacokinetics of </w:t>
      </w:r>
      <w:proofErr w:type="spellStart"/>
      <w:r w:rsidR="000C7ABD" w:rsidRPr="00EC6DAF">
        <w:rPr>
          <w:szCs w:val="22"/>
        </w:rPr>
        <w:t>gremubamab</w:t>
      </w:r>
      <w:proofErr w:type="spellEnd"/>
      <w:r w:rsidR="000C7ABD" w:rsidRPr="00EC6DAF">
        <w:rPr>
          <w:szCs w:val="22"/>
        </w:rPr>
        <w:t xml:space="preserve"> (MEDI3902</w:t>
      </w:r>
      <w:proofErr w:type="gramStart"/>
      <w:r w:rsidR="000C7ABD" w:rsidRPr="00EC6DAF">
        <w:rPr>
          <w:szCs w:val="22"/>
        </w:rPr>
        <w:t>),an</w:t>
      </w:r>
      <w:proofErr w:type="gramEnd"/>
      <w:r w:rsidR="000C7ABD" w:rsidRPr="00EC6DAF">
        <w:rPr>
          <w:szCs w:val="22"/>
        </w:rPr>
        <w:t xml:space="preserve"> anti-</w:t>
      </w:r>
      <w:r w:rsidR="000C7ABD" w:rsidRPr="00EC6DAF">
        <w:rPr>
          <w:i/>
          <w:iCs/>
          <w:szCs w:val="22"/>
        </w:rPr>
        <w:t>Pseudomonas aeruginosa</w:t>
      </w:r>
      <w:r w:rsidR="000C7ABD" w:rsidRPr="00EC6DAF">
        <w:rPr>
          <w:szCs w:val="22"/>
        </w:rPr>
        <w:t> bispecific human monoclonal antibody, in </w:t>
      </w:r>
      <w:r w:rsidR="000C7ABD" w:rsidRPr="00EC6DAF">
        <w:rPr>
          <w:i/>
          <w:iCs/>
          <w:szCs w:val="22"/>
        </w:rPr>
        <w:t>P. aeruginosa</w:t>
      </w:r>
      <w:r w:rsidR="000C7ABD" w:rsidRPr="00EC6DAF">
        <w:rPr>
          <w:szCs w:val="22"/>
        </w:rPr>
        <w:t>-colonised, mechanically ventilated intensive care unit patients: a randomised controlled trial. </w:t>
      </w:r>
      <w:r w:rsidR="000C7ABD" w:rsidRPr="00EC6DAF">
        <w:rPr>
          <w:i/>
          <w:iCs/>
          <w:szCs w:val="22"/>
        </w:rPr>
        <w:t>Crit Care</w:t>
      </w:r>
      <w:r w:rsidR="000C7ABD" w:rsidRPr="00EC6DAF">
        <w:rPr>
          <w:szCs w:val="22"/>
        </w:rPr>
        <w:t xml:space="preserve"> 26, 355 (2022). </w:t>
      </w:r>
    </w:p>
    <w:p w14:paraId="4503F992" w14:textId="77777777" w:rsidR="00EC6DAF" w:rsidRDefault="00EC6DAF" w:rsidP="00EC6DAF">
      <w:pPr>
        <w:jc w:val="both"/>
        <w:rPr>
          <w:b/>
          <w:bCs/>
          <w:iCs/>
          <w:lang w:val="en-US"/>
        </w:rPr>
      </w:pPr>
      <w:r w:rsidRPr="00EC6DAF">
        <w:rPr>
          <w:iCs/>
          <w:lang w:val="en-US"/>
        </w:rPr>
        <w:t>4</w:t>
      </w:r>
      <w:r>
        <w:rPr>
          <w:b/>
          <w:bCs/>
          <w:iCs/>
          <w:lang w:val="en-US"/>
        </w:rPr>
        <w:t xml:space="preserve">. </w:t>
      </w:r>
      <w:proofErr w:type="spellStart"/>
      <w:r w:rsidR="000C7ABD" w:rsidRPr="00EC6DAF">
        <w:rPr>
          <w:szCs w:val="22"/>
        </w:rPr>
        <w:t>Salmerón</w:t>
      </w:r>
      <w:proofErr w:type="spellEnd"/>
      <w:r w:rsidR="000C7ABD" w:rsidRPr="00EC6DAF">
        <w:rPr>
          <w:szCs w:val="22"/>
        </w:rPr>
        <w:t>-Manzano E, Garrido-Cardenas JA, Manzano-Agugliaro F. Worldwide Research Trends on Medicinal Plants. International Journal of Environmental Research and Public Health [Internet]. 2020 May 12;17(10):3376</w:t>
      </w:r>
    </w:p>
    <w:p w14:paraId="69D8225D" w14:textId="77777777" w:rsidR="00EC6DAF" w:rsidRDefault="00EC6DAF" w:rsidP="00EC6DAF">
      <w:pPr>
        <w:jc w:val="both"/>
        <w:rPr>
          <w:b/>
          <w:bCs/>
          <w:iCs/>
          <w:lang w:val="en-US"/>
        </w:rPr>
      </w:pPr>
      <w:r w:rsidRPr="00EC6DAF">
        <w:rPr>
          <w:iCs/>
          <w:lang w:val="en-US"/>
        </w:rPr>
        <w:t>5.</w:t>
      </w:r>
      <w:r>
        <w:rPr>
          <w:b/>
          <w:bCs/>
          <w:iCs/>
          <w:lang w:val="en-US"/>
        </w:rPr>
        <w:t xml:space="preserve"> </w:t>
      </w:r>
      <w:r w:rsidR="000C7ABD" w:rsidRPr="00EC6DAF">
        <w:rPr>
          <w:szCs w:val="22"/>
        </w:rPr>
        <w:t xml:space="preserve">Butt E, </w:t>
      </w:r>
      <w:proofErr w:type="spellStart"/>
      <w:r w:rsidR="000C7ABD" w:rsidRPr="00EC6DAF">
        <w:rPr>
          <w:szCs w:val="22"/>
        </w:rPr>
        <w:t>Altemimi</w:t>
      </w:r>
      <w:proofErr w:type="spellEnd"/>
      <w:r w:rsidR="000C7ABD" w:rsidRPr="00EC6DAF">
        <w:rPr>
          <w:szCs w:val="22"/>
        </w:rPr>
        <w:t xml:space="preserve"> AB, Younas A, Butt MS, Jalal M, Bhatty M, et al. Guava (</w:t>
      </w:r>
      <w:r w:rsidR="000C7ABD" w:rsidRPr="00EC6DAF">
        <w:rPr>
          <w:i/>
          <w:iCs/>
          <w:szCs w:val="22"/>
        </w:rPr>
        <w:t>Psidium guajava</w:t>
      </w:r>
      <w:r w:rsidR="000C7ABD" w:rsidRPr="00EC6DAF">
        <w:rPr>
          <w:szCs w:val="22"/>
        </w:rPr>
        <w:t>): A brief overview of its therapeutic and health potential. Food Chemistry: X. 2025 Sep 14;31: 103027.</w:t>
      </w:r>
    </w:p>
    <w:p w14:paraId="7AA3B180" w14:textId="7DB7D052" w:rsidR="000A32C5" w:rsidRDefault="00EC6DAF" w:rsidP="00EC6DAF">
      <w:pPr>
        <w:jc w:val="both"/>
        <w:rPr>
          <w:iCs/>
          <w:lang w:val="en-US"/>
        </w:rPr>
      </w:pPr>
      <w:r w:rsidRPr="00EC6DAF">
        <w:rPr>
          <w:iCs/>
          <w:lang w:val="en-US"/>
        </w:rPr>
        <w:t>6.</w:t>
      </w:r>
      <w:r w:rsidR="000A32C5">
        <w:rPr>
          <w:b/>
          <w:bCs/>
          <w:iCs/>
          <w:lang w:val="en-US"/>
        </w:rPr>
        <w:t xml:space="preserve"> </w:t>
      </w:r>
      <w:r w:rsidR="000A32C5" w:rsidRPr="000A32C5">
        <w:rPr>
          <w:szCs w:val="22"/>
        </w:rPr>
        <w:t>Latif R, Nawaz T. Medicinal plants and human health: A comprehensive review of bioactive compounds, therapeutic effects, and applications. Phytochemistry Reviews. 2025 Nov 5:1-44.</w:t>
      </w:r>
      <w:r w:rsidRPr="00EC6DAF">
        <w:rPr>
          <w:iCs/>
          <w:lang w:val="en-US"/>
        </w:rPr>
        <w:t>7.</w:t>
      </w:r>
    </w:p>
    <w:p w14:paraId="056A9A8F" w14:textId="641C5857" w:rsidR="00EC6DAF" w:rsidRDefault="000A32C5" w:rsidP="00EC6DAF">
      <w:pPr>
        <w:jc w:val="both"/>
        <w:rPr>
          <w:b/>
          <w:bCs/>
          <w:iCs/>
          <w:lang w:val="en-US"/>
        </w:rPr>
      </w:pPr>
      <w:r>
        <w:rPr>
          <w:iCs/>
          <w:lang w:val="en-US"/>
        </w:rPr>
        <w:t xml:space="preserve">7. </w:t>
      </w:r>
      <w:r w:rsidR="00EC6DAF">
        <w:rPr>
          <w:b/>
          <w:bCs/>
          <w:iCs/>
          <w:lang w:val="en-US"/>
        </w:rPr>
        <w:t xml:space="preserve"> </w:t>
      </w:r>
      <w:r w:rsidR="000C7ABD" w:rsidRPr="00EC6DAF">
        <w:rPr>
          <w:szCs w:val="22"/>
        </w:rPr>
        <w:t xml:space="preserve">Kumar M, Tomar M, </w:t>
      </w:r>
      <w:proofErr w:type="spellStart"/>
      <w:r w:rsidR="000C7ABD" w:rsidRPr="00EC6DAF">
        <w:rPr>
          <w:szCs w:val="22"/>
        </w:rPr>
        <w:t>Amarowicz</w:t>
      </w:r>
      <w:proofErr w:type="spellEnd"/>
      <w:r w:rsidR="000C7ABD" w:rsidRPr="00EC6DAF">
        <w:rPr>
          <w:szCs w:val="22"/>
        </w:rPr>
        <w:t xml:space="preserve"> R, Saurabh V, Nair MS, Maheshwari C, et al. Guava (</w:t>
      </w:r>
      <w:r w:rsidR="000C7ABD" w:rsidRPr="00EC6DAF">
        <w:rPr>
          <w:i/>
          <w:iCs/>
          <w:szCs w:val="22"/>
        </w:rPr>
        <w:t>Psidium guajava</w:t>
      </w:r>
      <w:r w:rsidR="000C7ABD" w:rsidRPr="00EC6DAF">
        <w:rPr>
          <w:szCs w:val="22"/>
        </w:rPr>
        <w:t xml:space="preserve"> L.) Leaves: Nutritional Composition, Phytochemical Profile, and Health-Promoting Bioactivities. Foods. 2021 Apr 1;10(4).</w:t>
      </w:r>
    </w:p>
    <w:p w14:paraId="50E41D97" w14:textId="77777777" w:rsidR="00EC6DAF" w:rsidRDefault="00EC6DAF" w:rsidP="00EC6DAF">
      <w:pPr>
        <w:jc w:val="both"/>
        <w:rPr>
          <w:b/>
          <w:bCs/>
          <w:iCs/>
          <w:lang w:val="en-US"/>
        </w:rPr>
      </w:pPr>
      <w:r w:rsidRPr="00EC6DAF">
        <w:rPr>
          <w:iCs/>
          <w:lang w:val="en-US"/>
        </w:rPr>
        <w:t>8.</w:t>
      </w:r>
      <w:r>
        <w:rPr>
          <w:b/>
          <w:bCs/>
          <w:iCs/>
          <w:lang w:val="en-US"/>
        </w:rPr>
        <w:t xml:space="preserve"> </w:t>
      </w:r>
      <w:r w:rsidR="000C7ABD" w:rsidRPr="00EC6DAF">
        <w:rPr>
          <w:szCs w:val="22"/>
        </w:rPr>
        <w:t>Biswas B, Rogers K, McLaughlin F, Daniels D, Yadav A. Antimicrobial Activities of Leaf Extracts of Guava (</w:t>
      </w:r>
      <w:r w:rsidR="000C7ABD" w:rsidRPr="00EC6DAF">
        <w:rPr>
          <w:i/>
          <w:iCs/>
          <w:szCs w:val="22"/>
        </w:rPr>
        <w:t>Psidium guajava</w:t>
      </w:r>
      <w:r w:rsidR="000C7ABD" w:rsidRPr="00EC6DAF">
        <w:rPr>
          <w:szCs w:val="22"/>
        </w:rPr>
        <w:t xml:space="preserve"> L.) on Two Gram-Negative and Gram-Positive Bacteria. International Journal of Microbiology. 2013;2013(1):1–7.</w:t>
      </w:r>
    </w:p>
    <w:p w14:paraId="2D7B3736" w14:textId="77777777" w:rsidR="00EC6DAF" w:rsidRDefault="00EC6DAF" w:rsidP="00EC6DAF">
      <w:pPr>
        <w:jc w:val="both"/>
        <w:rPr>
          <w:b/>
          <w:bCs/>
          <w:iCs/>
          <w:lang w:val="en-US"/>
        </w:rPr>
      </w:pPr>
      <w:r w:rsidRPr="00EC6DAF">
        <w:rPr>
          <w:iCs/>
          <w:lang w:val="en-US"/>
        </w:rPr>
        <w:t>9.</w:t>
      </w:r>
      <w:r>
        <w:rPr>
          <w:b/>
          <w:bCs/>
          <w:iCs/>
          <w:lang w:val="en-US"/>
        </w:rPr>
        <w:t xml:space="preserve"> </w:t>
      </w:r>
      <w:r w:rsidR="000C7ABD" w:rsidRPr="00EC6DAF">
        <w:rPr>
          <w:szCs w:val="22"/>
        </w:rPr>
        <w:t>Pereira GA, Chaves DS de A, Silva TM e, Motta RE de A, Silva ABR da, Patricio TC da C, et al. Antimicrobial Activity</w:t>
      </w:r>
      <w:r>
        <w:rPr>
          <w:b/>
          <w:bCs/>
          <w:iCs/>
          <w:lang w:val="en-US"/>
        </w:rPr>
        <w:t xml:space="preserve"> </w:t>
      </w:r>
      <w:r w:rsidR="000C7ABD" w:rsidRPr="00EC6DAF">
        <w:rPr>
          <w:szCs w:val="22"/>
        </w:rPr>
        <w:t>of Psidium guajava Aqueous Extract against Sensitive and Resistant Bacterial Strains. Microorganisms [Internet]. 2023 Jul 1;11(7):1784.</w:t>
      </w:r>
    </w:p>
    <w:p w14:paraId="26AEFCB7" w14:textId="77777777" w:rsidR="00EC6DAF" w:rsidRDefault="00EC6DAF" w:rsidP="00EC6DAF">
      <w:pPr>
        <w:jc w:val="both"/>
        <w:rPr>
          <w:b/>
          <w:bCs/>
          <w:iCs/>
          <w:lang w:val="en-US"/>
        </w:rPr>
      </w:pPr>
      <w:r w:rsidRPr="00EC6DAF">
        <w:rPr>
          <w:iCs/>
          <w:lang w:val="en-US"/>
        </w:rPr>
        <w:t>10.</w:t>
      </w:r>
      <w:r>
        <w:rPr>
          <w:b/>
          <w:bCs/>
          <w:iCs/>
          <w:lang w:val="en-US"/>
        </w:rPr>
        <w:t xml:space="preserve"> </w:t>
      </w:r>
      <w:r w:rsidR="00183C31" w:rsidRPr="00EC6DAF">
        <w:rPr>
          <w:szCs w:val="22"/>
        </w:rPr>
        <w:t xml:space="preserve"> </w:t>
      </w:r>
      <w:r w:rsidR="000C7ABD" w:rsidRPr="00EC6DAF">
        <w:rPr>
          <w:szCs w:val="22"/>
        </w:rPr>
        <w:t xml:space="preserve">Alara OR, Abdurahman NH, Ukaegbu CI. Soxhlet extraction of phenolic compounds from Vernonia cinerea leaves and its antioxidant activity. Journal of Applied Research on Medicinal and Aromatic Plants. 2018 </w:t>
      </w:r>
      <w:proofErr w:type="gramStart"/>
      <w:r w:rsidR="000C7ABD" w:rsidRPr="00EC6DAF">
        <w:rPr>
          <w:szCs w:val="22"/>
        </w:rPr>
        <w:t>Dec;11:12</w:t>
      </w:r>
      <w:proofErr w:type="gramEnd"/>
      <w:r w:rsidR="000C7ABD" w:rsidRPr="00EC6DAF">
        <w:rPr>
          <w:szCs w:val="22"/>
        </w:rPr>
        <w:t>–7.</w:t>
      </w:r>
    </w:p>
    <w:p w14:paraId="51480295" w14:textId="77777777" w:rsidR="00EC6DAF" w:rsidRDefault="00EC6DAF" w:rsidP="00EC6DAF">
      <w:pPr>
        <w:jc w:val="both"/>
        <w:rPr>
          <w:b/>
          <w:bCs/>
          <w:iCs/>
          <w:lang w:val="en-US"/>
        </w:rPr>
      </w:pPr>
      <w:r w:rsidRPr="00EC6DAF">
        <w:rPr>
          <w:iCs/>
          <w:lang w:val="en-US"/>
        </w:rPr>
        <w:t>11.</w:t>
      </w:r>
      <w:r>
        <w:rPr>
          <w:b/>
          <w:bCs/>
          <w:iCs/>
          <w:lang w:val="en-US"/>
        </w:rPr>
        <w:t xml:space="preserve"> </w:t>
      </w:r>
      <w:r w:rsidR="000C7ABD" w:rsidRPr="00EC6DAF">
        <w:rPr>
          <w:rFonts w:cstheme="minorHAnsi"/>
          <w:szCs w:val="22"/>
        </w:rPr>
        <w:t>Sham M, Thirumurugan K. Antimicrobial activity and phytochemical analysis of selected Indian folk medicinal plants. / International Journal of Pharma Sciences and Research (IJPSR). 2010 [cited 2025 Nov 29];1(10):430–4.</w:t>
      </w:r>
    </w:p>
    <w:p w14:paraId="188B7E37" w14:textId="77777777" w:rsidR="00EC6DAF" w:rsidRDefault="00EC6DAF" w:rsidP="00EC6DAF">
      <w:pPr>
        <w:jc w:val="both"/>
        <w:rPr>
          <w:b/>
          <w:bCs/>
          <w:iCs/>
          <w:lang w:val="en-US"/>
        </w:rPr>
      </w:pPr>
      <w:r w:rsidRPr="00EC6DAF">
        <w:rPr>
          <w:iCs/>
          <w:lang w:val="en-US"/>
        </w:rPr>
        <w:t>12.</w:t>
      </w:r>
      <w:r>
        <w:rPr>
          <w:rFonts w:cstheme="minorHAnsi"/>
          <w:color w:val="222222"/>
          <w:szCs w:val="22"/>
          <w:shd w:val="clear" w:color="auto" w:fill="FFFFFF"/>
        </w:rPr>
        <w:t xml:space="preserve"> </w:t>
      </w:r>
      <w:r w:rsidR="000C7ABD" w:rsidRPr="00EC6DAF">
        <w:rPr>
          <w:rFonts w:cstheme="minorHAnsi"/>
          <w:color w:val="222222"/>
          <w:szCs w:val="22"/>
          <w:shd w:val="clear" w:color="auto" w:fill="FFFFFF"/>
        </w:rPr>
        <w:t>Shinde AB, Mulay YR. Phytochemical analysis and antibacterial properties of some selected Indian medicinal plants. International Journal of current Microbiology and Applied sciences. 2015 Apr 15;4(3):228-35.</w:t>
      </w:r>
    </w:p>
    <w:p w14:paraId="69BFE05D" w14:textId="2451700A" w:rsidR="000C7ABD" w:rsidRPr="00EC6DAF" w:rsidRDefault="00EC6DAF" w:rsidP="00EC6DAF">
      <w:pPr>
        <w:jc w:val="both"/>
        <w:rPr>
          <w:b/>
          <w:bCs/>
          <w:iCs/>
          <w:lang w:val="en-US"/>
        </w:rPr>
      </w:pPr>
      <w:r w:rsidRPr="00EC6DAF">
        <w:rPr>
          <w:iCs/>
          <w:lang w:val="en-US"/>
        </w:rPr>
        <w:t>13</w:t>
      </w:r>
      <w:r>
        <w:rPr>
          <w:b/>
          <w:bCs/>
          <w:iCs/>
          <w:lang w:val="en-US"/>
        </w:rPr>
        <w:t xml:space="preserve">. </w:t>
      </w:r>
      <w:r w:rsidR="00183C31" w:rsidRPr="00EC6DAF">
        <w:rPr>
          <w:rFonts w:cstheme="minorHAnsi"/>
          <w:szCs w:val="22"/>
        </w:rPr>
        <w:t xml:space="preserve"> </w:t>
      </w:r>
      <w:proofErr w:type="spellStart"/>
      <w:r w:rsidR="000C7ABD" w:rsidRPr="00EC6DAF">
        <w:rPr>
          <w:rFonts w:cstheme="minorHAnsi"/>
          <w:szCs w:val="22"/>
        </w:rPr>
        <w:t>Edeoga</w:t>
      </w:r>
      <w:proofErr w:type="spellEnd"/>
      <w:r w:rsidR="000C7ABD" w:rsidRPr="00EC6DAF">
        <w:rPr>
          <w:rFonts w:cstheme="minorHAnsi"/>
          <w:szCs w:val="22"/>
        </w:rPr>
        <w:t xml:space="preserve"> HO, Okwu DE, </w:t>
      </w:r>
      <w:proofErr w:type="spellStart"/>
      <w:r w:rsidR="000C7ABD" w:rsidRPr="00EC6DAF">
        <w:rPr>
          <w:rFonts w:cstheme="minorHAnsi"/>
          <w:szCs w:val="22"/>
        </w:rPr>
        <w:t>Mbaebie</w:t>
      </w:r>
      <w:proofErr w:type="spellEnd"/>
      <w:r w:rsidR="000C7ABD" w:rsidRPr="00EC6DAF">
        <w:rPr>
          <w:rFonts w:cstheme="minorHAnsi"/>
          <w:szCs w:val="22"/>
        </w:rPr>
        <w:t xml:space="preserve"> BO. Phytochemical constituents of some Nigerian medicinal plants. African Journal of Biotechnology. 2005 May;4(7):685–8.</w:t>
      </w:r>
    </w:p>
    <w:p w14:paraId="010F4726" w14:textId="3246D740" w:rsidR="000C7ABD" w:rsidRPr="00EC6DAF" w:rsidRDefault="000C7ABD" w:rsidP="00EC6DAF">
      <w:pPr>
        <w:spacing w:after="0" w:line="240" w:lineRule="auto"/>
        <w:jc w:val="both"/>
        <w:rPr>
          <w:rFonts w:cstheme="minorHAnsi"/>
          <w:szCs w:val="22"/>
        </w:rPr>
      </w:pPr>
      <w:r w:rsidRPr="00EC6DAF">
        <w:rPr>
          <w:rFonts w:cstheme="minorHAnsi"/>
          <w:szCs w:val="22"/>
        </w:rPr>
        <w:t>14.</w:t>
      </w:r>
      <w:r w:rsidR="00183C31" w:rsidRPr="00EC6DAF">
        <w:rPr>
          <w:rFonts w:cstheme="minorHAnsi"/>
          <w:szCs w:val="22"/>
        </w:rPr>
        <w:t xml:space="preserve"> </w:t>
      </w:r>
      <w:r w:rsidRPr="00EC6DAF">
        <w:rPr>
          <w:rFonts w:cstheme="minorHAnsi"/>
          <w:szCs w:val="22"/>
        </w:rPr>
        <w:t>Sharma, T., Pandey, B., Shrestha, B. K., Koju, G. M., Thusa, R., &amp; Karki, N. (2020). Phytochemical Screening of Medicinal Plants and Study of the Effect of Phytoconstituents in Seed Germination. </w:t>
      </w:r>
      <w:r w:rsidRPr="00EC6DAF">
        <w:rPr>
          <w:rFonts w:cstheme="minorHAnsi"/>
          <w:i/>
          <w:iCs/>
          <w:szCs w:val="22"/>
        </w:rPr>
        <w:t>Tribhuvan University Journal</w:t>
      </w:r>
      <w:r w:rsidRPr="00EC6DAF">
        <w:rPr>
          <w:rFonts w:cstheme="minorHAnsi"/>
          <w:szCs w:val="22"/>
        </w:rPr>
        <w:t>, </w:t>
      </w:r>
      <w:r w:rsidRPr="00EC6DAF">
        <w:rPr>
          <w:rFonts w:cstheme="minorHAnsi"/>
          <w:i/>
          <w:iCs/>
          <w:szCs w:val="22"/>
        </w:rPr>
        <w:t>35</w:t>
      </w:r>
      <w:r w:rsidRPr="00EC6DAF">
        <w:rPr>
          <w:rFonts w:cstheme="minorHAnsi"/>
          <w:szCs w:val="22"/>
        </w:rPr>
        <w:t xml:space="preserve">(2), 1–11. </w:t>
      </w:r>
    </w:p>
    <w:p w14:paraId="3ED6A21E" w14:textId="77777777" w:rsidR="00EC6DAF" w:rsidRDefault="000C7ABD" w:rsidP="00EC6DAF">
      <w:pPr>
        <w:spacing w:after="0" w:line="240" w:lineRule="auto"/>
        <w:jc w:val="both"/>
        <w:rPr>
          <w:rFonts w:cstheme="minorHAnsi"/>
          <w:szCs w:val="22"/>
        </w:rPr>
      </w:pPr>
      <w:r w:rsidRPr="00EC6DAF">
        <w:rPr>
          <w:rFonts w:cstheme="minorHAnsi"/>
          <w:szCs w:val="22"/>
        </w:rPr>
        <w:lastRenderedPageBreak/>
        <w:t>15.</w:t>
      </w:r>
      <w:r w:rsidR="00EC6DAF" w:rsidRPr="00EC6DAF">
        <w:rPr>
          <w:rFonts w:cstheme="minorHAnsi"/>
          <w:szCs w:val="22"/>
        </w:rPr>
        <w:t xml:space="preserve"> </w:t>
      </w:r>
      <w:r w:rsidRPr="00EC6DAF">
        <w:rPr>
          <w:rFonts w:cstheme="minorHAnsi"/>
          <w:szCs w:val="22"/>
        </w:rPr>
        <w:t xml:space="preserve">Al-Rimawi, F., </w:t>
      </w:r>
      <w:proofErr w:type="spellStart"/>
      <w:r w:rsidRPr="00EC6DAF">
        <w:rPr>
          <w:rFonts w:cstheme="minorHAnsi"/>
          <w:szCs w:val="22"/>
        </w:rPr>
        <w:t>Imtara</w:t>
      </w:r>
      <w:proofErr w:type="spellEnd"/>
      <w:r w:rsidRPr="00EC6DAF">
        <w:rPr>
          <w:rFonts w:cstheme="minorHAnsi"/>
          <w:szCs w:val="22"/>
        </w:rPr>
        <w:t>, H., Abbadi, J. </w:t>
      </w:r>
      <w:r w:rsidRPr="00EC6DAF">
        <w:rPr>
          <w:rFonts w:cstheme="minorHAnsi"/>
          <w:i/>
          <w:iCs/>
          <w:szCs w:val="22"/>
        </w:rPr>
        <w:t>et al.</w:t>
      </w:r>
      <w:r w:rsidRPr="00EC6DAF">
        <w:rPr>
          <w:rFonts w:cstheme="minorHAnsi"/>
          <w:szCs w:val="22"/>
        </w:rPr>
        <w:t> Evaluation of antimicrobial efficacy of </w:t>
      </w:r>
      <w:r w:rsidRPr="00EC6DAF">
        <w:rPr>
          <w:rFonts w:cstheme="minorHAnsi"/>
          <w:i/>
          <w:iCs/>
          <w:szCs w:val="22"/>
        </w:rPr>
        <w:t>Psidium guajava</w:t>
      </w:r>
      <w:r w:rsidRPr="00EC6DAF">
        <w:rPr>
          <w:rFonts w:cstheme="minorHAnsi"/>
          <w:szCs w:val="22"/>
        </w:rPr>
        <w:t> L. leaf extract in ketoconazole shampoo. </w:t>
      </w:r>
      <w:r w:rsidRPr="00EC6DAF">
        <w:rPr>
          <w:rFonts w:cstheme="minorHAnsi"/>
          <w:i/>
          <w:iCs/>
          <w:szCs w:val="22"/>
        </w:rPr>
        <w:t>Sci Rep</w:t>
      </w:r>
      <w:r w:rsidRPr="00EC6DAF">
        <w:rPr>
          <w:rFonts w:cstheme="minorHAnsi"/>
          <w:szCs w:val="22"/>
        </w:rPr>
        <w:t> </w:t>
      </w:r>
      <w:r w:rsidRPr="00EC6DAF">
        <w:rPr>
          <w:rFonts w:cstheme="minorHAnsi"/>
          <w:b/>
          <w:bCs/>
          <w:szCs w:val="22"/>
        </w:rPr>
        <w:t>15</w:t>
      </w:r>
      <w:r w:rsidRPr="00EC6DAF">
        <w:rPr>
          <w:rFonts w:cstheme="minorHAnsi"/>
          <w:szCs w:val="22"/>
        </w:rPr>
        <w:t xml:space="preserve">, 39460 (2025). </w:t>
      </w:r>
    </w:p>
    <w:p w14:paraId="70E13B68" w14:textId="77777777" w:rsidR="00EC6DAF" w:rsidRDefault="00EC6DAF" w:rsidP="00EC6DAF">
      <w:pPr>
        <w:spacing w:after="0" w:line="240" w:lineRule="auto"/>
        <w:jc w:val="both"/>
        <w:rPr>
          <w:rFonts w:cstheme="minorHAnsi"/>
          <w:szCs w:val="22"/>
        </w:rPr>
      </w:pPr>
    </w:p>
    <w:p w14:paraId="4336546C" w14:textId="57796C4B" w:rsidR="000C7ABD" w:rsidRDefault="00EC6DAF" w:rsidP="00EC6DAF">
      <w:pPr>
        <w:spacing w:after="0" w:line="240" w:lineRule="auto"/>
        <w:jc w:val="both"/>
        <w:rPr>
          <w:rFonts w:cstheme="minorHAnsi"/>
          <w:szCs w:val="22"/>
        </w:rPr>
      </w:pPr>
      <w:r>
        <w:rPr>
          <w:rFonts w:cstheme="minorHAnsi"/>
          <w:szCs w:val="22"/>
        </w:rPr>
        <w:t>16.</w:t>
      </w:r>
      <w:r w:rsidRPr="00EC6DAF">
        <w:rPr>
          <w:rFonts w:cstheme="minorHAnsi"/>
          <w:szCs w:val="22"/>
        </w:rPr>
        <w:t xml:space="preserve"> </w:t>
      </w:r>
      <w:proofErr w:type="spellStart"/>
      <w:r w:rsidR="000C7ABD" w:rsidRPr="00EC6DAF">
        <w:rPr>
          <w:rFonts w:cstheme="minorHAnsi"/>
          <w:szCs w:val="22"/>
        </w:rPr>
        <w:t>Ekeleme</w:t>
      </w:r>
      <w:proofErr w:type="spellEnd"/>
      <w:r w:rsidR="000C7ABD" w:rsidRPr="00EC6DAF">
        <w:rPr>
          <w:rFonts w:cstheme="minorHAnsi"/>
          <w:szCs w:val="22"/>
        </w:rPr>
        <w:t xml:space="preserve"> K, </w:t>
      </w:r>
      <w:proofErr w:type="spellStart"/>
      <w:r w:rsidR="000C7ABD" w:rsidRPr="00EC6DAF">
        <w:rPr>
          <w:rFonts w:cstheme="minorHAnsi"/>
          <w:szCs w:val="22"/>
        </w:rPr>
        <w:t>Tsaku</w:t>
      </w:r>
      <w:proofErr w:type="spellEnd"/>
      <w:r w:rsidR="000C7ABD" w:rsidRPr="00EC6DAF">
        <w:rPr>
          <w:rFonts w:cstheme="minorHAnsi"/>
          <w:szCs w:val="22"/>
        </w:rPr>
        <w:t xml:space="preserve"> P, </w:t>
      </w:r>
      <w:proofErr w:type="spellStart"/>
      <w:r w:rsidR="000C7ABD" w:rsidRPr="00EC6DAF">
        <w:rPr>
          <w:rFonts w:cstheme="minorHAnsi"/>
          <w:szCs w:val="22"/>
        </w:rPr>
        <w:t>Nkene</w:t>
      </w:r>
      <w:proofErr w:type="spellEnd"/>
      <w:r w:rsidR="000C7ABD" w:rsidRPr="00EC6DAF">
        <w:rPr>
          <w:rFonts w:cstheme="minorHAnsi"/>
          <w:szCs w:val="22"/>
        </w:rPr>
        <w:t xml:space="preserve"> I, </w:t>
      </w:r>
      <w:proofErr w:type="spellStart"/>
      <w:r w:rsidR="000C7ABD" w:rsidRPr="00EC6DAF">
        <w:rPr>
          <w:rFonts w:cstheme="minorHAnsi"/>
          <w:szCs w:val="22"/>
        </w:rPr>
        <w:t>Ufomadu</w:t>
      </w:r>
      <w:proofErr w:type="spellEnd"/>
      <w:r w:rsidR="000C7ABD" w:rsidRPr="00EC6DAF">
        <w:rPr>
          <w:rFonts w:cstheme="minorHAnsi"/>
          <w:szCs w:val="22"/>
        </w:rPr>
        <w:t xml:space="preserve"> U, </w:t>
      </w:r>
      <w:proofErr w:type="spellStart"/>
      <w:r w:rsidR="000C7ABD" w:rsidRPr="00EC6DAF">
        <w:rPr>
          <w:rFonts w:cstheme="minorHAnsi"/>
          <w:szCs w:val="22"/>
        </w:rPr>
        <w:t>Abimiku</w:t>
      </w:r>
      <w:proofErr w:type="spellEnd"/>
      <w:r w:rsidR="000C7ABD" w:rsidRPr="00EC6DAF">
        <w:rPr>
          <w:rFonts w:cstheme="minorHAnsi"/>
          <w:szCs w:val="22"/>
        </w:rPr>
        <w:t xml:space="preserve"> R, Oti V, et al. Phytochemical analysis and antibacterial activity of Psidium guajava L. leaf extracts. GSC Biological and Pharmaceutical Sciences [Internet]. 2017 Nov 30;1(2):013–9. </w:t>
      </w:r>
    </w:p>
    <w:p w14:paraId="1F7DFBB7" w14:textId="77777777" w:rsidR="00EC6DAF" w:rsidRPr="00EC6DAF" w:rsidRDefault="00EC6DAF" w:rsidP="00EC6DAF">
      <w:pPr>
        <w:spacing w:after="0" w:line="240" w:lineRule="auto"/>
        <w:jc w:val="both"/>
        <w:rPr>
          <w:rFonts w:cstheme="minorHAnsi"/>
          <w:szCs w:val="22"/>
        </w:rPr>
      </w:pPr>
    </w:p>
    <w:p w14:paraId="16518715" w14:textId="730F6B71" w:rsidR="000C7ABD" w:rsidRDefault="000C7ABD" w:rsidP="00EC6DAF">
      <w:pPr>
        <w:spacing w:after="0" w:line="240" w:lineRule="auto"/>
        <w:jc w:val="both"/>
        <w:rPr>
          <w:rFonts w:cstheme="minorHAnsi"/>
          <w:szCs w:val="22"/>
        </w:rPr>
      </w:pPr>
      <w:r w:rsidRPr="00EC6DAF">
        <w:rPr>
          <w:rFonts w:cstheme="minorHAnsi"/>
          <w:szCs w:val="22"/>
        </w:rPr>
        <w:t>17.</w:t>
      </w:r>
      <w:r w:rsidR="00EC6DAF" w:rsidRPr="00EC6DAF">
        <w:rPr>
          <w:rFonts w:cstheme="minorHAnsi"/>
          <w:szCs w:val="22"/>
        </w:rPr>
        <w:t xml:space="preserve"> </w:t>
      </w:r>
      <w:proofErr w:type="spellStart"/>
      <w:r w:rsidRPr="00EC6DAF">
        <w:rPr>
          <w:rFonts w:cstheme="minorHAnsi"/>
          <w:szCs w:val="22"/>
        </w:rPr>
        <w:t>Möwes</w:t>
      </w:r>
      <w:proofErr w:type="spellEnd"/>
      <w:r w:rsidRPr="00EC6DAF">
        <w:rPr>
          <w:rFonts w:cstheme="minorHAnsi"/>
          <w:szCs w:val="22"/>
        </w:rPr>
        <w:t xml:space="preserve"> M, </w:t>
      </w:r>
      <w:proofErr w:type="spellStart"/>
      <w:r w:rsidRPr="00EC6DAF">
        <w:rPr>
          <w:rFonts w:cstheme="minorHAnsi"/>
          <w:szCs w:val="22"/>
        </w:rPr>
        <w:t>Kandanda</w:t>
      </w:r>
      <w:proofErr w:type="spellEnd"/>
      <w:r w:rsidRPr="00EC6DAF">
        <w:rPr>
          <w:rFonts w:cstheme="minorHAnsi"/>
          <w:szCs w:val="22"/>
        </w:rPr>
        <w:t xml:space="preserve"> GK, </w:t>
      </w:r>
      <w:proofErr w:type="spellStart"/>
      <w:r w:rsidRPr="00EC6DAF">
        <w:rPr>
          <w:rFonts w:cstheme="minorHAnsi"/>
          <w:szCs w:val="22"/>
        </w:rPr>
        <w:t>Nangolo</w:t>
      </w:r>
      <w:proofErr w:type="spellEnd"/>
      <w:r w:rsidRPr="00EC6DAF">
        <w:rPr>
          <w:rFonts w:cstheme="minorHAnsi"/>
          <w:szCs w:val="22"/>
        </w:rPr>
        <w:t xml:space="preserve"> LN, </w:t>
      </w:r>
      <w:proofErr w:type="spellStart"/>
      <w:r w:rsidRPr="00EC6DAF">
        <w:rPr>
          <w:rFonts w:cstheme="minorHAnsi"/>
          <w:szCs w:val="22"/>
        </w:rPr>
        <w:t>Shafodino</w:t>
      </w:r>
      <w:proofErr w:type="spellEnd"/>
      <w:r w:rsidRPr="00EC6DAF">
        <w:rPr>
          <w:rFonts w:cstheme="minorHAnsi"/>
          <w:szCs w:val="22"/>
        </w:rPr>
        <w:t xml:space="preserve"> FS, </w:t>
      </w:r>
      <w:proofErr w:type="spellStart"/>
      <w:r w:rsidRPr="00EC6DAF">
        <w:rPr>
          <w:rFonts w:cstheme="minorHAnsi"/>
          <w:szCs w:val="22"/>
        </w:rPr>
        <w:t>Mwapagha</w:t>
      </w:r>
      <w:proofErr w:type="spellEnd"/>
      <w:r w:rsidRPr="00EC6DAF">
        <w:rPr>
          <w:rFonts w:cstheme="minorHAnsi"/>
          <w:szCs w:val="22"/>
        </w:rPr>
        <w:t xml:space="preserve"> LM. Qualitative phytochemical profiling, and in vitro antimicrobial and antioxidant activity of Psidium guajava (Guava). </w:t>
      </w:r>
      <w:proofErr w:type="spellStart"/>
      <w:r w:rsidRPr="00EC6DAF">
        <w:rPr>
          <w:rFonts w:cstheme="minorHAnsi"/>
          <w:szCs w:val="22"/>
        </w:rPr>
        <w:t>Plos</w:t>
      </w:r>
      <w:proofErr w:type="spellEnd"/>
      <w:r w:rsidRPr="00EC6DAF">
        <w:rPr>
          <w:rFonts w:cstheme="minorHAnsi"/>
          <w:szCs w:val="22"/>
        </w:rPr>
        <w:t xml:space="preserve"> one. 2025 Apr 7;20(4</w:t>
      </w:r>
      <w:proofErr w:type="gramStart"/>
      <w:r w:rsidRPr="00EC6DAF">
        <w:rPr>
          <w:rFonts w:cstheme="minorHAnsi"/>
          <w:szCs w:val="22"/>
        </w:rPr>
        <w:t>):e</w:t>
      </w:r>
      <w:proofErr w:type="gramEnd"/>
      <w:r w:rsidRPr="00EC6DAF">
        <w:rPr>
          <w:rFonts w:cstheme="minorHAnsi"/>
          <w:szCs w:val="22"/>
        </w:rPr>
        <w:t>0321190.</w:t>
      </w:r>
    </w:p>
    <w:p w14:paraId="709A6786" w14:textId="77777777" w:rsidR="00EC6DAF" w:rsidRPr="00EC6DAF" w:rsidRDefault="00EC6DAF" w:rsidP="00EC6DAF">
      <w:pPr>
        <w:spacing w:after="0" w:line="240" w:lineRule="auto"/>
        <w:jc w:val="both"/>
        <w:rPr>
          <w:rFonts w:cstheme="minorHAnsi"/>
          <w:szCs w:val="22"/>
        </w:rPr>
      </w:pPr>
    </w:p>
    <w:p w14:paraId="50B7EDEB" w14:textId="3199CACF" w:rsidR="000C7ABD" w:rsidRPr="00EC6DAF" w:rsidRDefault="000C7ABD" w:rsidP="00EC6DAF">
      <w:pPr>
        <w:spacing w:after="0" w:line="240" w:lineRule="auto"/>
        <w:jc w:val="both"/>
        <w:rPr>
          <w:szCs w:val="22"/>
        </w:rPr>
      </w:pPr>
      <w:r w:rsidRPr="00EC6DAF">
        <w:rPr>
          <w:rFonts w:cstheme="minorHAnsi"/>
          <w:szCs w:val="22"/>
        </w:rPr>
        <w:t>18.</w:t>
      </w:r>
      <w:r w:rsidR="00EC6DAF" w:rsidRPr="00EC6DAF">
        <w:rPr>
          <w:rFonts w:cstheme="minorHAnsi"/>
          <w:szCs w:val="22"/>
        </w:rPr>
        <w:t xml:space="preserve"> </w:t>
      </w:r>
      <w:r w:rsidRPr="00EC6DAF">
        <w:rPr>
          <w:rFonts w:cstheme="minorHAnsi"/>
          <w:szCs w:val="22"/>
        </w:rPr>
        <w:t xml:space="preserve">Raj A, Menon V, Sharma N. Phytochemical screening, antimicrobial, antioxidant and cytotoxic potential of different extracts of Psidium guajava leaves. </w:t>
      </w:r>
      <w:proofErr w:type="spellStart"/>
      <w:r w:rsidRPr="00EC6DAF">
        <w:rPr>
          <w:rFonts w:cstheme="minorHAnsi"/>
          <w:szCs w:val="22"/>
        </w:rPr>
        <w:t>Vegetos</w:t>
      </w:r>
      <w:proofErr w:type="spellEnd"/>
      <w:r w:rsidRPr="00EC6DAF">
        <w:rPr>
          <w:rFonts w:cstheme="minorHAnsi"/>
          <w:szCs w:val="22"/>
        </w:rPr>
        <w:t>. 2020 Sep 2.</w:t>
      </w:r>
    </w:p>
    <w:p w14:paraId="1A8BEC57" w14:textId="3B2F408A" w:rsidR="00E62BAB" w:rsidRPr="00EC6DAF" w:rsidRDefault="00E62BAB" w:rsidP="00EC6DAF">
      <w:pPr>
        <w:spacing w:after="0" w:line="276" w:lineRule="auto"/>
        <w:jc w:val="both"/>
        <w:rPr>
          <w:rFonts w:eastAsia="Times New Roman" w:cstheme="minorHAnsi"/>
          <w:iCs/>
          <w:szCs w:val="22"/>
        </w:rPr>
      </w:pPr>
    </w:p>
    <w:sectPr w:rsidR="00E62BAB" w:rsidRPr="00EC6D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20B64"/>
    <w:multiLevelType w:val="multilevel"/>
    <w:tmpl w:val="6A140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1823CC"/>
    <w:multiLevelType w:val="hybridMultilevel"/>
    <w:tmpl w:val="7AA45210"/>
    <w:lvl w:ilvl="0" w:tplc="AD1C8CAC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 w:val="0"/>
        <w:bCs/>
        <w:sz w:val="20"/>
        <w:szCs w:val="20"/>
      </w:r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>
      <w:start w:val="1"/>
      <w:numFmt w:val="decimal"/>
      <w:lvlText w:val="%4."/>
      <w:lvlJc w:val="left"/>
      <w:pPr>
        <w:ind w:left="2520" w:hanging="360"/>
      </w:pPr>
    </w:lvl>
    <w:lvl w:ilvl="4" w:tplc="40090019">
      <w:start w:val="1"/>
      <w:numFmt w:val="lowerLetter"/>
      <w:lvlText w:val="%5."/>
      <w:lvlJc w:val="left"/>
      <w:pPr>
        <w:ind w:left="3240" w:hanging="360"/>
      </w:pPr>
    </w:lvl>
    <w:lvl w:ilvl="5" w:tplc="4009001B">
      <w:start w:val="1"/>
      <w:numFmt w:val="lowerRoman"/>
      <w:lvlText w:val="%6."/>
      <w:lvlJc w:val="right"/>
      <w:pPr>
        <w:ind w:left="3960" w:hanging="180"/>
      </w:pPr>
    </w:lvl>
    <w:lvl w:ilvl="6" w:tplc="4009000F">
      <w:start w:val="1"/>
      <w:numFmt w:val="decimal"/>
      <w:lvlText w:val="%7."/>
      <w:lvlJc w:val="left"/>
      <w:pPr>
        <w:ind w:left="4680" w:hanging="360"/>
      </w:pPr>
    </w:lvl>
    <w:lvl w:ilvl="7" w:tplc="40090019">
      <w:start w:val="1"/>
      <w:numFmt w:val="lowerLetter"/>
      <w:lvlText w:val="%8."/>
      <w:lvlJc w:val="left"/>
      <w:pPr>
        <w:ind w:left="5400" w:hanging="360"/>
      </w:pPr>
    </w:lvl>
    <w:lvl w:ilvl="8" w:tplc="4009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6CF57D3"/>
    <w:multiLevelType w:val="hybridMultilevel"/>
    <w:tmpl w:val="5156E2FA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 w:val="0"/>
        <w:bCs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7802CDC"/>
    <w:multiLevelType w:val="hybridMultilevel"/>
    <w:tmpl w:val="3F1692E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7058806">
    <w:abstractNumId w:val="0"/>
  </w:num>
  <w:num w:numId="2" w16cid:durableId="143381708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07248959">
    <w:abstractNumId w:val="2"/>
  </w:num>
  <w:num w:numId="4" w16cid:durableId="10598587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BAB"/>
    <w:rsid w:val="00064EB1"/>
    <w:rsid w:val="000A32C5"/>
    <w:rsid w:val="000C7ABD"/>
    <w:rsid w:val="00183C31"/>
    <w:rsid w:val="003F0611"/>
    <w:rsid w:val="00515EC9"/>
    <w:rsid w:val="00707737"/>
    <w:rsid w:val="00761BEB"/>
    <w:rsid w:val="00DC4885"/>
    <w:rsid w:val="00E62BAB"/>
    <w:rsid w:val="00EC6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54077"/>
  <w15:chartTrackingRefBased/>
  <w15:docId w15:val="{2A2BDF26-E50D-4A70-B866-F9382F027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2B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2B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2BA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2B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2BA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2B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2B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2B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2B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2BAB"/>
    <w:rPr>
      <w:rFonts w:asciiTheme="majorHAnsi" w:eastAsiaTheme="majorEastAsia" w:hAnsiTheme="majorHAnsi" w:cstheme="majorBidi"/>
      <w:color w:val="2E74B5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2BAB"/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2BAB"/>
    <w:rPr>
      <w:rFonts w:eastAsiaTheme="majorEastAsia" w:cstheme="majorBidi"/>
      <w:color w:val="2E74B5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2BAB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2BAB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2B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2B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2B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2B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2B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E62BA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2B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E62BA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E62B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2BAB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2B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2BAB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2BA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2BAB"/>
    <w:rPr>
      <w:rFonts w:cs="Mangal"/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2BAB"/>
    <w:rPr>
      <w:b/>
      <w:bCs/>
      <w:smallCaps/>
      <w:color w:val="2E74B5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semiHidden/>
    <w:unhideWhenUsed/>
    <w:rsid w:val="00E62B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62BAB"/>
    <w:rPr>
      <w:rFonts w:cs="Mangal"/>
    </w:rPr>
  </w:style>
  <w:style w:type="character" w:styleId="Hyperlink">
    <w:name w:val="Hyperlink"/>
    <w:uiPriority w:val="99"/>
    <w:semiHidden/>
    <w:unhideWhenUsed/>
    <w:rsid w:val="00E62BA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592</Words>
  <Characters>3377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TANUJA J</dc:creator>
  <cp:keywords/>
  <dc:description/>
  <cp:lastModifiedBy>TANUJA J</cp:lastModifiedBy>
  <cp:revision>3</cp:revision>
  <dcterms:created xsi:type="dcterms:W3CDTF">2026-01-12T15:07:00Z</dcterms:created>
  <dcterms:modified xsi:type="dcterms:W3CDTF">2026-02-22T17:03:00Z</dcterms:modified>
</cp:coreProperties>
</file>